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8A3" w:rsidRDefault="006058A3" w:rsidP="006058A3">
      <w:pPr>
        <w:jc w:val="center"/>
        <w:rPr>
          <w:rFonts w:ascii="Arial" w:hAnsi="Arial" w:cs="Arial"/>
          <w:b/>
          <w:sz w:val="24"/>
        </w:rPr>
      </w:pPr>
      <w:r w:rsidRPr="00B27D67">
        <w:rPr>
          <w:rFonts w:ascii="Arial" w:hAnsi="Arial" w:cs="Arial"/>
          <w:b/>
          <w:sz w:val="24"/>
        </w:rPr>
        <w:t>¿QUE ES EL ARBITRAJE?</w:t>
      </w:r>
    </w:p>
    <w:p w:rsidR="00B27D67" w:rsidRPr="00B27D67" w:rsidRDefault="00B27D67" w:rsidP="006058A3">
      <w:pPr>
        <w:jc w:val="center"/>
        <w:rPr>
          <w:rFonts w:ascii="Arial" w:hAnsi="Arial" w:cs="Arial"/>
          <w:b/>
          <w:sz w:val="24"/>
        </w:rPr>
      </w:pPr>
    </w:p>
    <w:p w:rsidR="00303C05" w:rsidRPr="00B27D67" w:rsidRDefault="00303C05" w:rsidP="00303C05">
      <w:pPr>
        <w:jc w:val="both"/>
        <w:rPr>
          <w:rFonts w:ascii="Arial" w:hAnsi="Arial" w:cs="Arial"/>
          <w:sz w:val="24"/>
        </w:rPr>
      </w:pPr>
      <w:r w:rsidRPr="00B27D67">
        <w:rPr>
          <w:rFonts w:ascii="Arial" w:hAnsi="Arial" w:cs="Arial"/>
          <w:sz w:val="24"/>
        </w:rPr>
        <w:t xml:space="preserve">Si bien es cierto existe la </w:t>
      </w:r>
      <w:r w:rsidR="00B27D67" w:rsidRPr="00B27D67">
        <w:rPr>
          <w:rFonts w:ascii="Arial" w:hAnsi="Arial" w:cs="Arial"/>
          <w:sz w:val="24"/>
        </w:rPr>
        <w:t>vía</w:t>
      </w:r>
      <w:r w:rsidRPr="00B27D67">
        <w:rPr>
          <w:rFonts w:ascii="Arial" w:hAnsi="Arial" w:cs="Arial"/>
          <w:sz w:val="24"/>
        </w:rPr>
        <w:t xml:space="preserve"> jurisdiccional en la cual los ciudadanos pueden acceder ejerciendo su derecho a la tutela jurisdiccional, paralelamente hay mecanismos alternativos de resolución de conflictos. </w:t>
      </w:r>
    </w:p>
    <w:p w:rsidR="00303C05" w:rsidRPr="00B27D67" w:rsidRDefault="00303C05" w:rsidP="00303C05">
      <w:pPr>
        <w:jc w:val="both"/>
        <w:rPr>
          <w:rFonts w:ascii="Arial" w:hAnsi="Arial" w:cs="Arial"/>
          <w:sz w:val="24"/>
        </w:rPr>
      </w:pPr>
      <w:r w:rsidRPr="00B27D67">
        <w:rPr>
          <w:rFonts w:ascii="Arial" w:hAnsi="Arial" w:cs="Arial"/>
          <w:sz w:val="24"/>
        </w:rPr>
        <w:t xml:space="preserve">Estos tienen su razón de ser en que acceder a la vía jurisdiccional significa un largo camino por recorrer, en otras palabras, el proceso demorará años hasta que se resuelva la controversia o litigio. En cambio, a través de los mecanismos alternativos de resolución de conflicto se asegura una posible solución en un corto tiempo. Estos son: la negociación, la mediación, la conciliación y el arbitraje. </w:t>
      </w:r>
    </w:p>
    <w:p w:rsidR="00AA393D" w:rsidRPr="00B27D67" w:rsidRDefault="00303C05" w:rsidP="00303C05">
      <w:pPr>
        <w:jc w:val="both"/>
        <w:rPr>
          <w:rFonts w:ascii="Arial" w:hAnsi="Arial" w:cs="Arial"/>
          <w:sz w:val="24"/>
        </w:rPr>
      </w:pPr>
      <w:r w:rsidRPr="00B27D67">
        <w:rPr>
          <w:rFonts w:ascii="Arial" w:hAnsi="Arial" w:cs="Arial"/>
          <w:sz w:val="24"/>
        </w:rPr>
        <w:t>El arbitraje es uno de los cuatro mecanismos alternativos de resolución de conflicto, que actúa de forma similar que la vía jurisdiccional pero</w:t>
      </w:r>
      <w:r w:rsidR="0043759B" w:rsidRPr="00B27D67">
        <w:rPr>
          <w:rFonts w:ascii="Arial" w:hAnsi="Arial" w:cs="Arial"/>
          <w:sz w:val="24"/>
        </w:rPr>
        <w:t xml:space="preserve"> ostentado marcadas diferencias como se verá en el siguiente cuadro comparativo: </w:t>
      </w:r>
    </w:p>
    <w:p w:rsidR="006058A3" w:rsidRPr="00B27D67" w:rsidRDefault="006058A3" w:rsidP="00303C05">
      <w:pPr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303C05" w:rsidRPr="00B27D67" w:rsidTr="00303C05">
        <w:tc>
          <w:tcPr>
            <w:tcW w:w="4247" w:type="dxa"/>
          </w:tcPr>
          <w:p w:rsidR="00303C05" w:rsidRPr="00B27D67" w:rsidRDefault="00303C05" w:rsidP="006058A3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B27D67">
              <w:rPr>
                <w:rFonts w:ascii="Arial" w:hAnsi="Arial" w:cs="Arial"/>
                <w:b/>
                <w:sz w:val="24"/>
              </w:rPr>
              <w:t>VIA ARBITRAL</w:t>
            </w:r>
          </w:p>
        </w:tc>
        <w:tc>
          <w:tcPr>
            <w:tcW w:w="4247" w:type="dxa"/>
          </w:tcPr>
          <w:p w:rsidR="00303C05" w:rsidRPr="00B27D67" w:rsidRDefault="00303C05" w:rsidP="006058A3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B27D67">
              <w:rPr>
                <w:rFonts w:ascii="Arial" w:hAnsi="Arial" w:cs="Arial"/>
                <w:b/>
                <w:sz w:val="24"/>
              </w:rPr>
              <w:t>VIA JURISDICCIONAL</w:t>
            </w:r>
          </w:p>
        </w:tc>
      </w:tr>
      <w:tr w:rsidR="00303C05" w:rsidRPr="00B27D67" w:rsidTr="00303C05">
        <w:tc>
          <w:tcPr>
            <w:tcW w:w="4247" w:type="dxa"/>
          </w:tcPr>
          <w:p w:rsidR="00303C05" w:rsidRPr="00B27D67" w:rsidRDefault="00A15449" w:rsidP="0090436D">
            <w:pPr>
              <w:jc w:val="both"/>
              <w:rPr>
                <w:rFonts w:ascii="Arial" w:hAnsi="Arial" w:cs="Arial"/>
                <w:sz w:val="24"/>
              </w:rPr>
            </w:pPr>
            <w:r w:rsidRPr="00B27D67">
              <w:rPr>
                <w:rFonts w:ascii="Arial" w:hAnsi="Arial" w:cs="Arial"/>
                <w:sz w:val="24"/>
              </w:rPr>
              <w:t>El fallo que emite tiene nombre de “Laudo Arbitral”</w:t>
            </w:r>
          </w:p>
        </w:tc>
        <w:tc>
          <w:tcPr>
            <w:tcW w:w="4247" w:type="dxa"/>
          </w:tcPr>
          <w:p w:rsidR="00303C05" w:rsidRPr="00B27D67" w:rsidRDefault="00A15449" w:rsidP="0090436D">
            <w:pPr>
              <w:jc w:val="both"/>
              <w:rPr>
                <w:rFonts w:ascii="Arial" w:hAnsi="Arial" w:cs="Arial"/>
                <w:sz w:val="24"/>
              </w:rPr>
            </w:pPr>
            <w:r w:rsidRPr="00B27D67">
              <w:rPr>
                <w:rFonts w:ascii="Arial" w:hAnsi="Arial" w:cs="Arial"/>
                <w:sz w:val="24"/>
              </w:rPr>
              <w:t>El fallo que emite tiene nombre de “Sentencia”.</w:t>
            </w:r>
          </w:p>
        </w:tc>
      </w:tr>
      <w:tr w:rsidR="00303C05" w:rsidRPr="00B27D67" w:rsidTr="00303C05">
        <w:tc>
          <w:tcPr>
            <w:tcW w:w="4247" w:type="dxa"/>
          </w:tcPr>
          <w:p w:rsidR="00303C05" w:rsidRPr="00B27D67" w:rsidRDefault="0090436D" w:rsidP="0090436D">
            <w:pPr>
              <w:jc w:val="both"/>
              <w:rPr>
                <w:rFonts w:ascii="Arial" w:hAnsi="Arial" w:cs="Arial"/>
                <w:sz w:val="24"/>
              </w:rPr>
            </w:pPr>
            <w:r w:rsidRPr="00B27D67">
              <w:rPr>
                <w:rFonts w:ascii="Arial" w:hAnsi="Arial" w:cs="Arial"/>
                <w:sz w:val="24"/>
              </w:rPr>
              <w:t>Las personas encargadas de juzgar son los “Árbitros”.</w:t>
            </w:r>
          </w:p>
        </w:tc>
        <w:tc>
          <w:tcPr>
            <w:tcW w:w="4247" w:type="dxa"/>
          </w:tcPr>
          <w:p w:rsidR="00303C05" w:rsidRPr="00B27D67" w:rsidRDefault="0090436D" w:rsidP="0090436D">
            <w:pPr>
              <w:jc w:val="both"/>
              <w:rPr>
                <w:rFonts w:ascii="Arial" w:hAnsi="Arial" w:cs="Arial"/>
                <w:sz w:val="24"/>
              </w:rPr>
            </w:pPr>
            <w:r w:rsidRPr="00B27D67">
              <w:rPr>
                <w:rFonts w:ascii="Arial" w:hAnsi="Arial" w:cs="Arial"/>
                <w:sz w:val="24"/>
              </w:rPr>
              <w:t>La persona encargada de juzgar es el “Juez”.</w:t>
            </w:r>
          </w:p>
        </w:tc>
      </w:tr>
      <w:tr w:rsidR="0090436D" w:rsidRPr="00B27D67" w:rsidTr="00303C05">
        <w:tc>
          <w:tcPr>
            <w:tcW w:w="4247" w:type="dxa"/>
          </w:tcPr>
          <w:p w:rsidR="0090436D" w:rsidRPr="00B27D67" w:rsidRDefault="0090436D" w:rsidP="0090436D">
            <w:pPr>
              <w:jc w:val="both"/>
              <w:rPr>
                <w:rFonts w:ascii="Arial" w:hAnsi="Arial" w:cs="Arial"/>
                <w:sz w:val="24"/>
              </w:rPr>
            </w:pPr>
            <w:r w:rsidRPr="00B27D67">
              <w:rPr>
                <w:rFonts w:ascii="Arial" w:hAnsi="Arial" w:cs="Arial"/>
                <w:sz w:val="24"/>
              </w:rPr>
              <w:t xml:space="preserve">El tiempo de resolución de la controversia es en un periodo de 6 meses, ampliado en un máximo de 2 meses. </w:t>
            </w:r>
          </w:p>
        </w:tc>
        <w:tc>
          <w:tcPr>
            <w:tcW w:w="4247" w:type="dxa"/>
          </w:tcPr>
          <w:p w:rsidR="0090436D" w:rsidRPr="00B27D67" w:rsidRDefault="0090436D" w:rsidP="0090436D">
            <w:pPr>
              <w:jc w:val="both"/>
              <w:rPr>
                <w:rFonts w:ascii="Arial" w:hAnsi="Arial" w:cs="Arial"/>
                <w:sz w:val="24"/>
              </w:rPr>
            </w:pPr>
            <w:r w:rsidRPr="00B27D67">
              <w:rPr>
                <w:rFonts w:ascii="Arial" w:hAnsi="Arial" w:cs="Arial"/>
                <w:sz w:val="24"/>
              </w:rPr>
              <w:t xml:space="preserve">El tiempo de resolución </w:t>
            </w:r>
            <w:r w:rsidR="00F52A8E" w:rsidRPr="00B27D67">
              <w:rPr>
                <w:rFonts w:ascii="Arial" w:hAnsi="Arial" w:cs="Arial"/>
                <w:sz w:val="24"/>
              </w:rPr>
              <w:t xml:space="preserve">es extenso. </w:t>
            </w:r>
          </w:p>
        </w:tc>
      </w:tr>
      <w:tr w:rsidR="0090436D" w:rsidRPr="00B27D67" w:rsidTr="00303C05">
        <w:tc>
          <w:tcPr>
            <w:tcW w:w="4247" w:type="dxa"/>
          </w:tcPr>
          <w:p w:rsidR="0090436D" w:rsidRPr="00B27D67" w:rsidRDefault="001A1383" w:rsidP="001A1383">
            <w:pPr>
              <w:rPr>
                <w:rFonts w:ascii="Arial" w:hAnsi="Arial" w:cs="Arial"/>
                <w:sz w:val="24"/>
              </w:rPr>
            </w:pPr>
            <w:r w:rsidRPr="00B27D67">
              <w:rPr>
                <w:rFonts w:ascii="Arial" w:hAnsi="Arial" w:cs="Arial"/>
                <w:sz w:val="24"/>
              </w:rPr>
              <w:t xml:space="preserve">El arbitraje se rige por el principio de confidencialidad.  </w:t>
            </w:r>
          </w:p>
        </w:tc>
        <w:tc>
          <w:tcPr>
            <w:tcW w:w="4247" w:type="dxa"/>
          </w:tcPr>
          <w:p w:rsidR="0090436D" w:rsidRPr="00B27D67" w:rsidRDefault="001A1383" w:rsidP="0090436D">
            <w:pPr>
              <w:jc w:val="both"/>
              <w:rPr>
                <w:rFonts w:ascii="Arial" w:hAnsi="Arial" w:cs="Arial"/>
                <w:sz w:val="24"/>
              </w:rPr>
            </w:pPr>
            <w:r w:rsidRPr="00B27D67">
              <w:rPr>
                <w:rFonts w:ascii="Arial" w:hAnsi="Arial" w:cs="Arial"/>
                <w:sz w:val="24"/>
              </w:rPr>
              <w:t xml:space="preserve">En la vía jurisdiccional prima el principio de publicidad. </w:t>
            </w:r>
          </w:p>
        </w:tc>
      </w:tr>
    </w:tbl>
    <w:p w:rsidR="00303C05" w:rsidRPr="00B27D67" w:rsidRDefault="00303C05" w:rsidP="00303C05">
      <w:pPr>
        <w:jc w:val="both"/>
        <w:rPr>
          <w:rFonts w:ascii="Arial" w:hAnsi="Arial" w:cs="Arial"/>
          <w:sz w:val="24"/>
        </w:rPr>
      </w:pPr>
    </w:p>
    <w:p w:rsidR="00D33E4A" w:rsidRPr="00B27D67" w:rsidRDefault="00FA2E29" w:rsidP="00303C05">
      <w:pPr>
        <w:jc w:val="both"/>
        <w:rPr>
          <w:rFonts w:ascii="Arial" w:hAnsi="Arial" w:cs="Arial"/>
          <w:sz w:val="24"/>
        </w:rPr>
      </w:pPr>
      <w:r w:rsidRPr="00B27D67">
        <w:rPr>
          <w:rFonts w:ascii="Arial" w:hAnsi="Arial" w:cs="Arial"/>
          <w:sz w:val="24"/>
        </w:rPr>
        <w:t>En este mecanismo alternativo de resolución de conflictos, las partes otorgan facultad a un tercero imparcial para que resuelva el litigio, es por ello que se exige “la cláusula arbitral”</w:t>
      </w:r>
      <w:r w:rsidR="00DB1487" w:rsidRPr="00B27D67">
        <w:rPr>
          <w:rFonts w:ascii="Arial" w:hAnsi="Arial" w:cs="Arial"/>
          <w:sz w:val="24"/>
        </w:rPr>
        <w:t>.</w:t>
      </w:r>
      <w:r w:rsidRPr="00B27D67">
        <w:rPr>
          <w:rFonts w:ascii="Arial" w:hAnsi="Arial" w:cs="Arial"/>
          <w:sz w:val="24"/>
        </w:rPr>
        <w:t xml:space="preserve"> En contraste con los otros tres mecanismos alternos, donde finalmente quien decide </w:t>
      </w:r>
      <w:r w:rsidR="00DB1487" w:rsidRPr="00B27D67">
        <w:rPr>
          <w:rFonts w:ascii="Arial" w:hAnsi="Arial" w:cs="Arial"/>
          <w:sz w:val="24"/>
        </w:rPr>
        <w:t xml:space="preserve">son las partes. </w:t>
      </w:r>
    </w:p>
    <w:p w:rsidR="0043759B" w:rsidRPr="00B27D67" w:rsidRDefault="00FA2E29" w:rsidP="00303C05">
      <w:pPr>
        <w:jc w:val="both"/>
        <w:rPr>
          <w:rFonts w:ascii="Arial" w:hAnsi="Arial" w:cs="Arial"/>
          <w:sz w:val="24"/>
        </w:rPr>
      </w:pPr>
      <w:r w:rsidRPr="00B27D67">
        <w:rPr>
          <w:rFonts w:ascii="Arial" w:hAnsi="Arial" w:cs="Arial"/>
          <w:sz w:val="24"/>
        </w:rPr>
        <w:t xml:space="preserve">El arbitraje se encuentra regulado mediante el </w:t>
      </w:r>
      <w:r w:rsidR="0043759B" w:rsidRPr="00B27D67">
        <w:rPr>
          <w:rFonts w:ascii="Arial" w:hAnsi="Arial" w:cs="Arial"/>
          <w:sz w:val="24"/>
        </w:rPr>
        <w:t>Decreto Legislativo N°1071 y vers</w:t>
      </w:r>
      <w:r w:rsidR="00E66516" w:rsidRPr="00B27D67">
        <w:rPr>
          <w:rFonts w:ascii="Arial" w:hAnsi="Arial" w:cs="Arial"/>
          <w:sz w:val="24"/>
        </w:rPr>
        <w:t>a sobre las siguientes materias conforme el artículo 2 del mencionado decreto:</w:t>
      </w:r>
    </w:p>
    <w:p w:rsidR="0043759B" w:rsidRPr="00B27D67" w:rsidRDefault="0043759B" w:rsidP="00E66516">
      <w:pPr>
        <w:pStyle w:val="Prrafodelista"/>
        <w:numPr>
          <w:ilvl w:val="0"/>
          <w:numId w:val="3"/>
        </w:numPr>
        <w:tabs>
          <w:tab w:val="left" w:pos="1276"/>
        </w:tabs>
        <w:ind w:left="993" w:right="424"/>
        <w:jc w:val="both"/>
        <w:rPr>
          <w:rFonts w:ascii="Arial" w:hAnsi="Arial" w:cs="Arial"/>
          <w:sz w:val="24"/>
        </w:rPr>
      </w:pPr>
      <w:r w:rsidRPr="00B27D67">
        <w:rPr>
          <w:rFonts w:ascii="Arial" w:hAnsi="Arial" w:cs="Arial"/>
          <w:sz w:val="24"/>
        </w:rPr>
        <w:t xml:space="preserve">Pueden someterse a arbitraje las controversias sobre materias de libre disposición conforme a derecho, así como aquellas que la ley o los tratados o acuerdos internacionales autoricen. </w:t>
      </w:r>
    </w:p>
    <w:p w:rsidR="0043759B" w:rsidRPr="00B27D67" w:rsidRDefault="0043759B" w:rsidP="00303C05">
      <w:pPr>
        <w:pStyle w:val="Prrafodelista"/>
        <w:numPr>
          <w:ilvl w:val="0"/>
          <w:numId w:val="3"/>
        </w:numPr>
        <w:tabs>
          <w:tab w:val="left" w:pos="1276"/>
        </w:tabs>
        <w:ind w:left="993" w:right="424"/>
        <w:jc w:val="both"/>
        <w:rPr>
          <w:rFonts w:ascii="Arial" w:hAnsi="Arial" w:cs="Arial"/>
          <w:sz w:val="24"/>
        </w:rPr>
      </w:pPr>
      <w:r w:rsidRPr="00B27D67">
        <w:rPr>
          <w:rFonts w:ascii="Arial" w:hAnsi="Arial" w:cs="Arial"/>
          <w:sz w:val="24"/>
        </w:rPr>
        <w:t xml:space="preserve">Cuando el arbitraje sea internacional y una de las partes sea un Estado o una sociedad, organización o empresa controlada por un Estado, esa parte no podrá invocar las prerrogativas de su propio derecho para sustraerse a las obligaciones derivadas del convenio arbitral. </w:t>
      </w:r>
    </w:p>
    <w:p w:rsidR="00FA2E29" w:rsidRPr="00B27D67" w:rsidRDefault="0043759B" w:rsidP="00303C05">
      <w:pPr>
        <w:jc w:val="both"/>
        <w:rPr>
          <w:rFonts w:ascii="Arial" w:hAnsi="Arial" w:cs="Arial"/>
          <w:sz w:val="24"/>
        </w:rPr>
      </w:pPr>
      <w:r w:rsidRPr="00B27D67">
        <w:rPr>
          <w:rFonts w:ascii="Arial" w:hAnsi="Arial" w:cs="Arial"/>
          <w:sz w:val="24"/>
        </w:rPr>
        <w:lastRenderedPageBreak/>
        <w:t>Se entiende</w:t>
      </w:r>
      <w:r w:rsidR="00E66516" w:rsidRPr="00B27D67">
        <w:rPr>
          <w:rFonts w:ascii="Arial" w:hAnsi="Arial" w:cs="Arial"/>
          <w:sz w:val="24"/>
        </w:rPr>
        <w:t xml:space="preserve"> a las materias </w:t>
      </w:r>
      <w:r w:rsidR="000511DB" w:rsidRPr="00B27D67">
        <w:rPr>
          <w:rFonts w:ascii="Arial" w:hAnsi="Arial" w:cs="Arial"/>
          <w:sz w:val="24"/>
        </w:rPr>
        <w:t xml:space="preserve">de libre disposición a aquellas </w:t>
      </w:r>
      <w:r w:rsidR="000D1450" w:rsidRPr="00B27D67">
        <w:rPr>
          <w:rFonts w:ascii="Arial" w:hAnsi="Arial" w:cs="Arial"/>
          <w:sz w:val="24"/>
        </w:rPr>
        <w:t xml:space="preserve">que no tienen otro procedimiento concreto reservado por ley. Por ejemplo, las siguientes materias no son susceptibles de ser sometidas al arbitraje: </w:t>
      </w:r>
    </w:p>
    <w:p w:rsidR="000D1450" w:rsidRPr="00B27D67" w:rsidRDefault="000D1450" w:rsidP="000D1450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4"/>
        </w:rPr>
      </w:pPr>
      <w:r w:rsidRPr="00B27D67">
        <w:rPr>
          <w:rFonts w:ascii="Arial" w:hAnsi="Arial" w:cs="Arial"/>
          <w:sz w:val="24"/>
        </w:rPr>
        <w:t>Derecho penal</w:t>
      </w:r>
    </w:p>
    <w:p w:rsidR="000D1450" w:rsidRPr="00B27D67" w:rsidRDefault="000D1450" w:rsidP="000D1450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4"/>
        </w:rPr>
      </w:pPr>
      <w:r w:rsidRPr="00B27D67">
        <w:rPr>
          <w:rFonts w:ascii="Arial" w:hAnsi="Arial" w:cs="Arial"/>
          <w:sz w:val="24"/>
        </w:rPr>
        <w:t xml:space="preserve">Materias en las que intervengan menores o incapacitados, entre otros. </w:t>
      </w:r>
    </w:p>
    <w:p w:rsidR="00FA2E29" w:rsidRPr="00B27D67" w:rsidRDefault="00FA2E29" w:rsidP="00303C05">
      <w:pPr>
        <w:jc w:val="both"/>
        <w:rPr>
          <w:rFonts w:ascii="Arial" w:hAnsi="Arial" w:cs="Arial"/>
          <w:sz w:val="24"/>
        </w:rPr>
      </w:pPr>
      <w:r w:rsidRPr="00B27D67">
        <w:rPr>
          <w:rFonts w:ascii="Arial" w:hAnsi="Arial" w:cs="Arial"/>
          <w:sz w:val="24"/>
        </w:rPr>
        <w:t>¿Por qué recurrir al arbitraje?</w:t>
      </w:r>
    </w:p>
    <w:p w:rsidR="00805F93" w:rsidRPr="00B27D67" w:rsidRDefault="00E907C3" w:rsidP="00A24E88">
      <w:pPr>
        <w:jc w:val="both"/>
        <w:rPr>
          <w:rFonts w:ascii="Arial" w:hAnsi="Arial" w:cs="Arial"/>
          <w:sz w:val="24"/>
        </w:rPr>
      </w:pPr>
      <w:r w:rsidRPr="00B27D67">
        <w:rPr>
          <w:rFonts w:ascii="Arial" w:hAnsi="Arial" w:cs="Arial"/>
          <w:sz w:val="24"/>
        </w:rPr>
        <w:t xml:space="preserve">El arbitraje es considerado tanto internacionalmente como nacionalmente como </w:t>
      </w:r>
      <w:r w:rsidR="00805F93" w:rsidRPr="00B27D67">
        <w:rPr>
          <w:rFonts w:ascii="Arial" w:hAnsi="Arial" w:cs="Arial"/>
          <w:sz w:val="24"/>
        </w:rPr>
        <w:t xml:space="preserve">el mejor mecanismo para resolver conflictos como vía extrajudicial.  </w:t>
      </w:r>
    </w:p>
    <w:p w:rsidR="00A24E88" w:rsidRPr="00B27D67" w:rsidRDefault="00A24E88" w:rsidP="00A24E88">
      <w:pPr>
        <w:jc w:val="both"/>
        <w:rPr>
          <w:rFonts w:ascii="Arial" w:hAnsi="Arial" w:cs="Arial"/>
          <w:sz w:val="24"/>
        </w:rPr>
      </w:pPr>
      <w:r w:rsidRPr="00B27D67">
        <w:rPr>
          <w:rFonts w:ascii="Arial" w:hAnsi="Arial" w:cs="Arial"/>
          <w:sz w:val="24"/>
        </w:rPr>
        <w:t>Según Luis Bustamante Belaunde, presidente del Consejo Superior de Arbitraje del Centro de Arbitraje de</w:t>
      </w:r>
      <w:r w:rsidR="00805F93" w:rsidRPr="00B27D67">
        <w:rPr>
          <w:rFonts w:ascii="Arial" w:hAnsi="Arial" w:cs="Arial"/>
          <w:sz w:val="24"/>
        </w:rPr>
        <w:t xml:space="preserve"> la Cámara de Comercio de Lima “</w:t>
      </w:r>
      <w:r w:rsidRPr="00B27D67">
        <w:rPr>
          <w:rFonts w:ascii="Arial" w:hAnsi="Arial" w:cs="Arial"/>
          <w:sz w:val="24"/>
        </w:rPr>
        <w:t>es el medio idóneo para resolver un conflicto civil o comercial de manera eficiente y ágil</w:t>
      </w:r>
      <w:r w:rsidR="00805F93" w:rsidRPr="00B27D67">
        <w:rPr>
          <w:rFonts w:ascii="Arial" w:hAnsi="Arial" w:cs="Arial"/>
          <w:sz w:val="24"/>
        </w:rPr>
        <w:t xml:space="preserve">”. </w:t>
      </w:r>
    </w:p>
    <w:p w:rsidR="00F41F98" w:rsidRDefault="005C4066" w:rsidP="00303C05">
      <w:pPr>
        <w:jc w:val="both"/>
        <w:rPr>
          <w:rFonts w:ascii="Arial" w:hAnsi="Arial" w:cs="Arial"/>
          <w:sz w:val="24"/>
        </w:rPr>
      </w:pPr>
      <w:r w:rsidRPr="00B27D67">
        <w:rPr>
          <w:rFonts w:ascii="Arial" w:hAnsi="Arial" w:cs="Arial"/>
          <w:sz w:val="24"/>
        </w:rPr>
        <w:t xml:space="preserve">En conclusión, optar por la </w:t>
      </w:r>
      <w:r w:rsidR="00BE34BA" w:rsidRPr="00B27D67">
        <w:rPr>
          <w:rFonts w:ascii="Arial" w:hAnsi="Arial" w:cs="Arial"/>
          <w:sz w:val="24"/>
        </w:rPr>
        <w:t>vía</w:t>
      </w:r>
      <w:r w:rsidRPr="00B27D67">
        <w:rPr>
          <w:rFonts w:ascii="Arial" w:hAnsi="Arial" w:cs="Arial"/>
          <w:sz w:val="24"/>
        </w:rPr>
        <w:t xml:space="preserve"> arbitral significa llegar a una solución</w:t>
      </w:r>
      <w:r w:rsidR="00BE34BA" w:rsidRPr="00B27D67">
        <w:rPr>
          <w:rFonts w:ascii="Arial" w:hAnsi="Arial" w:cs="Arial"/>
          <w:sz w:val="24"/>
        </w:rPr>
        <w:t xml:space="preserve"> del conflicto</w:t>
      </w:r>
      <w:r w:rsidRPr="00B27D67">
        <w:rPr>
          <w:rFonts w:ascii="Arial" w:hAnsi="Arial" w:cs="Arial"/>
          <w:sz w:val="24"/>
        </w:rPr>
        <w:t xml:space="preserve"> de manera simple</w:t>
      </w:r>
      <w:r w:rsidR="00805F93" w:rsidRPr="00B27D67">
        <w:rPr>
          <w:rFonts w:ascii="Arial" w:hAnsi="Arial" w:cs="Arial"/>
          <w:sz w:val="24"/>
        </w:rPr>
        <w:t>, rápid</w:t>
      </w:r>
      <w:r w:rsidR="00BE34BA" w:rsidRPr="00B27D67">
        <w:rPr>
          <w:rFonts w:ascii="Arial" w:hAnsi="Arial" w:cs="Arial"/>
          <w:sz w:val="24"/>
        </w:rPr>
        <w:t>a</w:t>
      </w:r>
      <w:r w:rsidR="00805F93" w:rsidRPr="00B27D67">
        <w:rPr>
          <w:rFonts w:ascii="Arial" w:hAnsi="Arial" w:cs="Arial"/>
          <w:sz w:val="24"/>
        </w:rPr>
        <w:t>, flexible, neutral y confidencial.</w:t>
      </w:r>
    </w:p>
    <w:p w:rsidR="00B27D67" w:rsidRDefault="00B27D67" w:rsidP="00303C05">
      <w:pPr>
        <w:jc w:val="both"/>
        <w:rPr>
          <w:rFonts w:ascii="Arial" w:hAnsi="Arial" w:cs="Arial"/>
          <w:sz w:val="24"/>
        </w:rPr>
      </w:pPr>
    </w:p>
    <w:p w:rsidR="00B27D67" w:rsidRDefault="00B27D67" w:rsidP="00303C05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BIBLIOGRAFIA:</w:t>
      </w:r>
    </w:p>
    <w:p w:rsidR="00627E52" w:rsidRDefault="00627E52" w:rsidP="00303C05">
      <w:pPr>
        <w:jc w:val="both"/>
        <w:rPr>
          <w:rFonts w:ascii="Arial" w:hAnsi="Arial" w:cs="Arial"/>
          <w:sz w:val="24"/>
        </w:rPr>
      </w:pPr>
      <w:bookmarkStart w:id="0" w:name="_GoBack"/>
      <w:bookmarkEnd w:id="0"/>
    </w:p>
    <w:p w:rsidR="00B27D67" w:rsidRDefault="00B27D67" w:rsidP="00303C05">
      <w:pPr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Caivano</w:t>
      </w:r>
      <w:proofErr w:type="spellEnd"/>
      <w:r>
        <w:rPr>
          <w:rFonts w:ascii="Arial" w:hAnsi="Arial" w:cs="Arial"/>
          <w:sz w:val="24"/>
        </w:rPr>
        <w:t xml:space="preserve">, R. (2008). Arbitraje. 2008. Editorial: Ad-Hoc S.R.L. Buenos Aires, República de Argentina. </w:t>
      </w:r>
    </w:p>
    <w:p w:rsidR="00627E52" w:rsidRDefault="00627E52" w:rsidP="00303C05">
      <w:pPr>
        <w:jc w:val="both"/>
        <w:rPr>
          <w:rFonts w:ascii="Arial" w:hAnsi="Arial" w:cs="Arial"/>
          <w:sz w:val="24"/>
        </w:rPr>
      </w:pPr>
    </w:p>
    <w:p w:rsidR="00610CB6" w:rsidRPr="00B27D67" w:rsidRDefault="00610CB6" w:rsidP="00303C05">
      <w:pPr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Soutullo&amp;Asociadas</w:t>
      </w:r>
      <w:proofErr w:type="spellEnd"/>
      <w:r>
        <w:rPr>
          <w:rFonts w:ascii="Arial" w:hAnsi="Arial" w:cs="Arial"/>
          <w:sz w:val="24"/>
        </w:rPr>
        <w:t xml:space="preserve">. 10 diferencias y similitudes entre el sistema judicial y el arbitraje. Recuperado de </w:t>
      </w:r>
      <w:r w:rsidRPr="00610CB6">
        <w:rPr>
          <w:rFonts w:ascii="Arial" w:hAnsi="Arial" w:cs="Arial"/>
          <w:sz w:val="24"/>
        </w:rPr>
        <w:t>https://ticlegal.com/10-diferencias-y-similitudes-entre-el-sistema-judicial-y-el-arbitraje/</w:t>
      </w:r>
    </w:p>
    <w:sectPr w:rsidR="00610CB6" w:rsidRPr="00B27D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2E84"/>
    <w:multiLevelType w:val="hybridMultilevel"/>
    <w:tmpl w:val="85047522"/>
    <w:lvl w:ilvl="0" w:tplc="F31892C8">
      <w:start w:val="46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D2519"/>
    <w:multiLevelType w:val="hybridMultilevel"/>
    <w:tmpl w:val="78829F5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65B6F"/>
    <w:multiLevelType w:val="hybridMultilevel"/>
    <w:tmpl w:val="597676E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771ACB"/>
    <w:multiLevelType w:val="hybridMultilevel"/>
    <w:tmpl w:val="F91C2C5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C05"/>
    <w:rsid w:val="000511DB"/>
    <w:rsid w:val="000D1450"/>
    <w:rsid w:val="001A1383"/>
    <w:rsid w:val="002B2E02"/>
    <w:rsid w:val="00303C05"/>
    <w:rsid w:val="0043759B"/>
    <w:rsid w:val="005C4066"/>
    <w:rsid w:val="006058A3"/>
    <w:rsid w:val="00610CB6"/>
    <w:rsid w:val="00627E52"/>
    <w:rsid w:val="00805F93"/>
    <w:rsid w:val="0090436D"/>
    <w:rsid w:val="00A15449"/>
    <w:rsid w:val="00A24E88"/>
    <w:rsid w:val="00A36D99"/>
    <w:rsid w:val="00AA393D"/>
    <w:rsid w:val="00B27D67"/>
    <w:rsid w:val="00BE34BA"/>
    <w:rsid w:val="00D33E4A"/>
    <w:rsid w:val="00D43F83"/>
    <w:rsid w:val="00DB1487"/>
    <w:rsid w:val="00E66516"/>
    <w:rsid w:val="00E907C3"/>
    <w:rsid w:val="00F41F98"/>
    <w:rsid w:val="00F52A8E"/>
    <w:rsid w:val="00FA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357489"/>
  <w15:chartTrackingRefBased/>
  <w15:docId w15:val="{E57954A8-7EB8-4BE7-A6F6-7F8F307EF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03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03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2</Pages>
  <Words>528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13</cp:revision>
  <dcterms:created xsi:type="dcterms:W3CDTF">2022-09-16T19:57:00Z</dcterms:created>
  <dcterms:modified xsi:type="dcterms:W3CDTF">2022-10-17T15:23:00Z</dcterms:modified>
</cp:coreProperties>
</file>